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 CSR Strategi Menuju GCG 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08-09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