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 CSR Strategi Menuju GCG 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04-05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