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Integrated Corporate Communication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19-20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