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Accounting for Non-Accountant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