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Cashflow & Treasury Management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18-19 Nov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