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Win-Win Negotiation Skills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